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Merriweather" w:cs="Merriweather" w:eastAsia="Merriweather" w:hAnsi="Merriweather"/>
          <w:b w:val="1"/>
          <w:sz w:val="46"/>
          <w:szCs w:val="46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</w:t>
      </w:r>
      <w:r w:rsidDel="00000000" w:rsidR="00000000" w:rsidRPr="00000000">
        <w:rPr>
          <w:rFonts w:ascii="Merriweather" w:cs="Merriweather" w:eastAsia="Merriweather" w:hAnsi="Merriweather"/>
          <w:b w:val="1"/>
          <w:sz w:val="46"/>
          <w:szCs w:val="46"/>
          <w:rtl w:val="0"/>
        </w:rPr>
        <w:t xml:space="preserve">Política de participación de los       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erriweather" w:cs="Merriweather" w:eastAsia="Merriweather" w:hAnsi="Merriweather"/>
          <w:b w:val="1"/>
          <w:sz w:val="46"/>
          <w:szCs w:val="46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46"/>
          <w:szCs w:val="46"/>
          <w:rtl w:val="0"/>
        </w:rPr>
        <w:t xml:space="preserve">padres y la familia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Nunito" w:cs="Nunito" w:eastAsia="Nunito" w:hAnsi="Nunito"/>
          <w:sz w:val="30"/>
          <w:szCs w:val="30"/>
          <w:rtl w:val="0"/>
        </w:rPr>
        <w:t xml:space="preserve">North Canton Elementary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36"/>
                <w:szCs w:val="36"/>
                <w:rtl w:val="0"/>
              </w:rPr>
              <w:t xml:space="preserve">Declaración de la misión de NCE para 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36"/>
                <w:szCs w:val="36"/>
                <w:rtl w:val="0"/>
              </w:rPr>
              <w:t xml:space="preserve">y la familia: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sz w:val="30"/>
                <w:szCs w:val="30"/>
              </w:rPr>
            </w:pPr>
            <w:r w:rsidDel="00000000" w:rsidR="00000000" w:rsidRPr="00000000">
              <w:rPr>
                <w:rFonts w:ascii="Nunito" w:cs="Nunito" w:eastAsia="Nunito" w:hAnsi="Nunito"/>
                <w:sz w:val="30"/>
                <w:szCs w:val="30"/>
                <w:rtl w:val="0"/>
              </w:rPr>
              <w:t xml:space="preserve">La participación de los padres de North Canton fomenta la participación activa de todos los padres para garantizar el éxito académico de todos los estudiantes. </w:t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36"/>
                <w:szCs w:val="36"/>
                <w:rtl w:val="0"/>
              </w:rPr>
              <w:t xml:space="preserve">Formas de participación de los padres: Los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Los padres son maestros: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Pueden supervisar la tarea, escuchar y leer con su hijo y ofrecer actividades de aprendizaje en casa.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Los padres son aprendices: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 pueden comunicarse con los maestros y el personal de Título 1 y asistir a eventos como STEAM Night, Reading Night y Math Night.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Los padres como tomadores de decisiones: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Puede dar su opinión sobre las encuestas, asistir a conferencias de padres / maestros y participar en grupos de padres y escuelas en North Canton (por ejemplo, Equipo de Mejoramiento Escolar, Comité Asesor de Padres, Asociación de Padres y Maestros).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Padres como partidarios / defensores: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Puede ser voluntario en la escuela, ayudar a organizar actividades, defender a los niños y asistir a funciones escolares como PTA, Noches de lectura y matemáticas en familia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36"/>
                <w:szCs w:val="36"/>
                <w:rtl w:val="0"/>
              </w:rPr>
              <w:t xml:space="preserve">Requisitos para ser un programa financiado por el gobierno federal: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-Utilizar estrategias y programas basados ​​en investigaciones (por ejemplo, Intervención de alfabetización nivelada (LLI), Kit de herramientas de comprensión, Investigaciones)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-Con personal de maestros altamente calificados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-Rendición de cuentas e informes consistentes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-Utilizando evaluaciones estatales como Fin de Grado Pruebas: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envío a casa de las boletas de calificaciones educativas de Carolina del Norte</w:t>
            </w:r>
          </w:p>
        </w:tc>
      </w:tr>
    </w:tbl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  <w:t xml:space="preserve">2022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